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b/>
          <w:sz w:val="21"/>
          <w:szCs w:val="21"/>
        </w:rPr>
        <w:t>[</w:t>
      </w:r>
      <w:r>
        <w:rPr>
          <w:rFonts w:hint="eastAsia" w:ascii="Times New Roman" w:hAnsi="Times New Roman" w:eastAsiaTheme="minorEastAsia"/>
          <w:b/>
          <w:sz w:val="21"/>
          <w:szCs w:val="21"/>
        </w:rPr>
        <w:t>附件</w:t>
      </w:r>
      <w:r>
        <w:rPr>
          <w:rFonts w:ascii="Times New Roman" w:hAnsi="Times New Roman" w:eastAsiaTheme="minorEastAsia"/>
          <w:b/>
          <w:sz w:val="21"/>
          <w:szCs w:val="21"/>
        </w:rPr>
        <w:t>1]</w:t>
      </w:r>
      <w:bookmarkStart w:id="1" w:name="_GoBack"/>
      <w:bookmarkEnd w:id="1"/>
    </w:p>
    <w:p>
      <w:pPr>
        <w:spacing w:after="0"/>
        <w:jc w:val="center"/>
        <w:rPr>
          <w:rFonts w:ascii="Times New Roman" w:hAnsi="Times New Roman" w:eastAsia="宋体" w:cs="Times New Roman"/>
          <w:b/>
          <w:sz w:val="21"/>
        </w:rPr>
      </w:pPr>
      <w:bookmarkStart w:id="0" w:name="OLE_LINK1"/>
      <w:r>
        <w:rPr>
          <w:rFonts w:hint="eastAsia" w:asciiTheme="minorEastAsia" w:hAnsiTheme="minorEastAsia" w:eastAsiaTheme="minorEastAsia"/>
          <w:b/>
          <w:sz w:val="21"/>
          <w:szCs w:val="21"/>
        </w:rPr>
        <w:t>2015</w:t>
      </w:r>
      <w:r>
        <w:rPr>
          <w:rFonts w:hint="eastAsia" w:ascii="Times New Roman" w:hAnsi="Times New Roman" w:eastAsia="宋体" w:cs="Times New Roman"/>
          <w:b/>
          <w:sz w:val="21"/>
        </w:rPr>
        <w:t>中国物流信息化研讨会会议议程</w:t>
      </w:r>
    </w:p>
    <w:bookmarkEnd w:id="0"/>
    <w:p>
      <w:pPr>
        <w:spacing w:after="0"/>
        <w:jc w:val="both"/>
        <w:rPr>
          <w:rFonts w:ascii="Times New Roman" w:hAnsi="Times New Roman" w:eastAsiaTheme="minorEastAsia"/>
          <w:sz w:val="21"/>
          <w:szCs w:val="21"/>
        </w:rPr>
      </w:pPr>
    </w:p>
    <w:tbl>
      <w:tblPr>
        <w:tblStyle w:val="4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26"/>
        <w:gridCol w:w="426"/>
        <w:gridCol w:w="1984"/>
        <w:gridCol w:w="4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24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日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全天：代表报道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25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日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上午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全体大会</w:t>
            </w:r>
          </w:p>
        </w:tc>
        <w:tc>
          <w:tcPr>
            <w:tcW w:w="6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主题演讲之一：</w:t>
            </w:r>
          </w:p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“平台经济下”，物流信息平台如何以联接智胜未来。</w:t>
            </w: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、变革过后，物流信息平台的“治”与“势”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、平台经济下，物流企业的联接之道。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、智慧运力与智能服务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主题演讲之二：</w:t>
            </w:r>
          </w:p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“平台经济”下，智慧物流园区的联接与融合</w:t>
            </w: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、中国物流园区的现状及发展趋势分析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、物流园区的智慧联接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、物流园区的融合发展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下午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研讨会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主题演讲之三：</w:t>
            </w:r>
          </w:p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精益仓储管理与高效城市配送融合发展之路</w:t>
            </w: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、智慧仓储的建设之道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、城配车货匹配平台信息化策略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、如何破解“最后一公里”的城配难题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主题演讲之四：</w:t>
            </w:r>
          </w:p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全渠道零售时代下的电子商务物流信息化变革</w:t>
            </w: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、电子商务仓配一体化信息化搭建要素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、电子商务物流高峰信息化应对方案（案例解析）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、新的信息技术支撑电子商务物流信息化的发展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、电商平台物流信息化的机遇与挑战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、跨境电商的物流支撑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主题演讲之五：</w:t>
            </w:r>
          </w:p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互联网经济助力物流企业转型升级</w:t>
            </w: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、互联网经济改变物流企业的传统思维方式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、“互联网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”推动物流企业智慧发展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、“互联网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”助力物流企业跨界融合与转型升级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、物流电商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O2O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模式探讨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嘉宾互动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90C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月离</cp:lastModifiedBy>
  <dcterms:modified xsi:type="dcterms:W3CDTF">2016-06-14T03:25:29Z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